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89 vom 1. September 2005</w:t>
      </w:r>
    </w:p>
    <w:p>
      <w:r>
        <w:t>VS Kantonsgericht, 2005-09-01, DE</w:t>
      </w:r>
    </w:p>
    <w:p>
      <w:r>
        <w:rPr>
          <w:b/>
        </w:rPr>
        <w:t xml:space="preserve">Quelle: </w:t>
      </w:r>
      <w:r>
        <w:t>https://mcp.opencaselaw.ch/entscheid/vs_gerichte_A1 05 89</w:t>
      </w:r>
    </w:p>
    <w:p>
      <w:r>
        <w:t>FR: VS_GERICHTE A1 05 89 du 1 septembre 2005</w:t>
      </w:r>
    </w:p>
    <w:p>
      <w:r>
        <w:t>IT: VS_GERICHTE A1 05 89 del 1 settembre 2005</w:t>
      </w:r>
    </w:p>
    <w:p>
      <w:pPr>
        <w:pStyle w:val="Heading2"/>
      </w:pPr>
      <w:r>
        <w:t>Regeste</w:t>
      </w:r>
    </w:p>
    <w:p>
      <w:r>
        <w:t>Raumplanung Aménagement du territoire KGE (öffentlichrechtliche Abteilung) vom 01. September 2005 i.S. Gemeinde Saas-Fee c. Staatsrat und kantonales Grundbuchinspektorat Einschränkung des Zweitwohnungsbaus – Die Walliser Gemeinden können öffentlichrechtliche Eigentumsbeschränkungen im Sinne der Einschränkung des Zweitwohnungsbaus erlassen. – Solche Massnahmen sind auf die Raumentwicklung ausgerichtet, damit raum- planerisch und nicht wirtschaftlich motiviert. – Die Auflage, einen bestimmten Anteil der Wohnungen eines Bauprojekts am Ort wohnsässigen Personen zur dauernden Nutzung durch diese selbst zu reservie- ren, kann als Zweckänderungsverbot im Grundbuch angemerkt werden. 26 KGVS A1 05 89</w:t>
      </w:r>
    </w:p>
    <w:p>
      <w:pPr>
        <w:pStyle w:val="Heading2"/>
      </w:pPr>
      <w:r>
        <w:t>Erwägungen</w:t>
      </w:r>
    </w:p>
    <w:p>
      <w:r>
        <w:rPr>
          <w:b/>
        </w:rPr>
        <w:t>E. 4</w:t>
      </w:r>
    </w:p>
    <w:p>
      <w:r>
        <w:t>Das RHZ deﬁniert Wohnungen, die von Ortsansässigen als stän- diger Wohnsitz benutzt werden, als Hauptwohnungen (Art. 1 Abs. 1 RHZ) und erlaubt den Bau von Gebäuden mit mehr als zwei Wohnun- 27</w:t>
      </w:r>
    </w:p>
    <w:p>
      <w:r>
        <w:t>gen nur, wenn mindestens eine davon als Hauptwohnung dient (Art. 2 Abs. 1 RHZ) und ihr Volumen zumindest der durchschnittlichen Woh- nungsgrösse im Haus entspricht (Art. 2 Abs. 2 RHZ). Die Zweckbe- stimmungen als Hauptwohnung ist durch Auﬂagen in der Baubewilli- gung zu sichern und die Gemeinde hat die Auﬂage dem Grundbuchamt zur Anmerkung vorzulegen (Art. 6 Abs. 1 RHZ). Die Ausnützungsziffer im kommunalen Baureglement wird für Wohn- und Gewerbebauten herabgesetzt, falls sich der Bauherr nicht verpﬂichtet, mindestens zwei Drittel der Wohn- und Gewerbeﬂäche dauernd im Eigentum Orts- ansässiger zu belassen (Art. 9 und 10 RHZ). Die Gemeinde hat auch diese Verpﬂichtung durch Auﬂage in der Baubewilligung, welche im Grundbuch anzumerken ist, zu sichern (Art. 10 Abs. 3 RHZ).</w:t>
      </w:r>
    </w:p>
    <w:p>
      <w:r>
        <w:rPr>
          <w:b/>
        </w:rPr>
        <w:t>E. 5</w:t>
      </w:r>
    </w:p>
    <w:p>
      <w:r>
        <w:t>Es ist zunächst abzuklären, ob die Gemeinde zum Erlass von öffentlichrechtlichen Eigentumsbeschränkungen gemäss Art. 6 und 9 resp. 10 RHZ überhaupt kompetent ist.</w:t>
      </w:r>
    </w:p>
    <w:p>
      <w:r>
        <w:rPr>
          <w:b/>
        </w:rPr>
        <w:t>E. 5.1</w:t>
      </w:r>
    </w:p>
    <w:p>
      <w:r>
        <w:t>Gemäss Verfassung des Kantons Wallis vom 08. März 1907 (GS/VS 101.1) ordnen die Gemeinden innerhalb der Schranken der Ver- fassung und der Gesetze ihre Angelegenheiten selbständig (Art. 69). Die Walliser Gemeinden verfügen u.a. über eine Rechtsetzungsbefug- nis, wo ein kantonales Gesetz sie ausdrücklich zum Erlass von Rechts- sätzen verpﬂichtet oder ermächtigt (Art. 50 Abs. 1 Bundesverfassung der Schweizerischen Eidgenossenschaft vom 18. April 1999 [BV; SR 101]; BGE 128 I 3 E. 2a; Max Imboden / René Rhinow, Schweizerische Verwaltungsrechtsprechung, 6. Auﬂ., Band I, S. 72). In diesem Rahmen sind auch kommunale Einschränkungen des Zweitwohnungsbaus möglich (BGE 117 Ia 141 E. 2a; Eric Brandt / Pierre Moor, Commentaire LAT, Art. 18 N 17 mit Hinweisen). Die Gemeinden sind unter Vorbehalt kantonaler und eidgenössischer Bestimmungen für die Ortsplanung und das Bauwesen zuständig (Art. 6 lit. c GGO und Art. 6 lit. c GemG). So verpﬂichtet sie u.a. Art. 13 Abs. 2 lit. a kRPG zur Reglementierung der Art und des Ausmasses der baulichen Nutzung. Die Gemeinde ver- fügt im Bereich der Baupolizei und der Raumplanung somit über eine gewisse Autonomie (Urteil [des Kantonsgerichts] vom 04. Mai 2000 i.S. J.-P. R. c. Staatsrat mit Hinweisen).</w:t>
      </w:r>
    </w:p>
    <w:p>
      <w:r>
        <w:rPr>
          <w:b/>
        </w:rPr>
        <w:t>E. 5.2</w:t>
      </w:r>
    </w:p>
    <w:p>
      <w:r>
        <w:t>Der übermässige Zweitwohnungsbau kann für eine Gemeinde zu einem schwerwiegenden raumplanerisch und siedlungspolitischen Problem werden (BGE 117 Ia 141 E. 2b mit Hinweisen). Das Überhand- nehmen von Zweitwohnungen gefährdet die haushälterische Bean- 28</w:t>
      </w:r>
    </w:p>
    <w:p>
      <w:r>
        <w:t>spruchung des knappen Bodens. Die ortsfremde Nachfrage verteuert die Boden- und Wohnungspreise und bewirkt dadurch letztlich die Verdrängung der ortsansässigen Bevölkerung in weniger gesuchte Wohnlagen oder in andere Gemeinden (Art. 2 Abs. 1 lit. b kRPG; BGE 112 Ia 65 E. 5c). Zudem kann mit Einschränkungen des Zweitwoh- nungsbaus generell die Bauentwicklung und damit die Beanspruchung von noch nicht überbautem Boden beeinﬂusst werden. Damit wird aber auf eine bestimmte Raumentwicklung eingewirkt, was auch der raumplanerischen Zielsetzung entspricht. Die Einschränkung des Zweitwohnungsbaus liegt folglich durchaus im raumplanungsrecht- lichen Gebot der haushälterischen Bodennutzung begründet (BGE 117 Ia 141 E. 2b mit Hinweisen] und verfolgt damit zweifelsohne eine raum- planerische Zielrichtung (Art. 1 Abs. 1 Satz 1 Bundesgesetz über die Raumplanung vom 22. Juni 1979 [SR 700]; Art. 1 Abs. 1 kRPG).</w:t>
      </w:r>
    </w:p>
    <w:p>
      <w:r>
        <w:rPr>
          <w:b/>
        </w:rPr>
        <w:t>E. 5.3</w:t>
      </w:r>
    </w:p>
    <w:p>
      <w:r>
        <w:t>Das RHZ verpﬂichtet den Bauherrn unter bestimmten Voraus- setzungen, bei der Errichtung resp. dem Umbau eines Gebäudes fort- während benutzte Wohnungen bereit zu stellen. Bereits die Bauein- gabe muss die entsprechenden Räumlichkeiten kennzeichnen und deren Gebrauchszweck wird durch Auﬂagen im Bauentscheid sicher- gestellt. Die Ausnützungsziffer für Bauprojekte, welche nicht dauernd einen reglementierten Flächenanteil im Eigentum Ortsansässiger belassen, wird gesenkt. Die entsprechenden Bestimmungen beein- ﬂussen demzufolge die Art und das Ausmass der baulichen Nutzung mit dem Ziel, den Zweitwohnungsbau einzuschränken. Sie fallen in den Anwendungsbereich von Art. 13 Abs. 2 kRPG, weshalb die Gemeinde zum Erlass der öffentlichrechtlichen Eigentumsbeschrän- kungen gemäss Art. 6 RHZ durchaus befugt ist. Ob diese Schlussfol- gerung uneingeschränkt auch für Art. 10 Ziff. 1 RHZ gilt, der von dau- erndem Eigentum und nicht von eigener Nutzung durch Ortsansässige spricht, kann hier offen bleiben, da es um die Sicher- stellung gemäss Art. 6 RHZ geht.</w:t>
      </w:r>
    </w:p>
    <w:p>
      <w:r>
        <w:rPr>
          <w:b/>
        </w:rPr>
        <w:t>E. 6</w:t>
      </w:r>
    </w:p>
    <w:p>
      <w:r>
        <w:t>Es drängt sich anschliessend die Frage auf, ob die kommunale Anmerkung eines Zweckänderungsverbots im Grundbuch eine genü- gende gesetzliche Basis im kantonalen Recht ﬁndet.</w:t>
      </w:r>
    </w:p>
    <w:p>
      <w:r>
        <w:rPr>
          <w:b/>
        </w:rPr>
        <w:t>E. 6.1</w:t>
      </w:r>
    </w:p>
    <w:p>
      <w:r>
        <w:t>Die Anmerkung verweist im Hauptbuch auf den Bestand des Rechtsverhältnisses mit Bezug zum Grundstück (BGE 124 III 211 E. 1a). Sie hat bloss deklaratorische Bedeutung (VPB 33 Nr. 152; Jürg Schmid, Basler Kommentar, 2. Auﬂ. Art. 962 N 2), vermag jedoch in Verbindung 29</w:t>
      </w:r>
    </w:p>
    <w:p>
      <w:r>
        <w:t>mit Art. 970 Abs. 3 ZGB den guten Glauben einer Person zu zerstören (Jürg Schmid / Bettina Hürlimann-Kaup, Sachenrecht, 2. Auﬂ. N 495). Es existiert kein eigentlicher Numerus clausus zulässiger Anmer- kungstatbestände, jedoch wird eine rechtliche Grundlage im Bundes- oder kantonalen Recht vorausgesetzt (Dieter Zobl, Grundbuchrecht, 2. Auﬂ. N 337 mit Hinweisen). Auch kommunales Recht kann diese vor- sehen, sofern die Norm auf einer ausdrücklichen kantonalen Ermäch- tigung basiert (Dominik Scherrer, Anmerkungen im Grundbuch, S. 251; BVR 54 S. 182). Art. 13 Abs. 3 kRPG erlaubt den Gemeinden, zur Ein- haltung der in Art. 13 Abs. 2 kRPG exempliﬁkativ angeführten Vor- schriften, die Errichtung von öffentlichrechtlichen Eigentumsbe- schränkungen zu verlangen, die zugunsten der Gemeinde im Grundbuch anzumerken sind.</w:t>
      </w:r>
    </w:p>
    <w:p>
      <w:r>
        <w:rPr>
          <w:b/>
        </w:rPr>
        <w:t>E. 6.2</w:t>
      </w:r>
    </w:p>
    <w:p>
      <w:r>
        <w:t>Art. 13 Abs. 2 kRPG bildet Grundlage entsprechender kommu- naler Eigentumsbeschränkungen zur Eingrenzung des Zweitwoh- nungsbaus (E. 5.2). Art 13 Abs. 3 kRPG ermöglicht demzufolge auch die Anmerkung von im Baubewilligungsverfahren auﬂageweise erteil- ter, auf Abs. 2 dieser Norm basierender, kommunaler Nutzungsein- schränkungen. Das RHZ kann folglich die Anmerkung solcher öffent- lichrechtlicher Eigentumseinschränkungen vorsehen.</w:t>
      </w:r>
    </w:p>
    <w:p>
      <w:r>
        <w:rPr>
          <w:b/>
        </w:rPr>
        <w:t>E. 7</w:t>
      </w:r>
    </w:p>
    <w:p>
      <w:r>
        <w:t>Es ist abschliessend zu klären, ob die Anmerkungsbestim- mung von Art. 6 RHZ über eine genügende bundesrätliche Genehmi- gung verfügt.</w:t>
      </w:r>
    </w:p>
    <w:p>
      <w:r>
        <w:rPr>
          <w:b/>
        </w:rPr>
        <w:t>E. 7.1</w:t>
      </w:r>
    </w:p>
    <w:p>
      <w:r>
        <w:t>Die kantonalen Anmerkungsvorschriften bedürfen einer Genehmigung des Bundesrats (Art. 186 Abs. 2 BV; Art. 102 Abs. 1 Ziff. 13 Bundesverfassung der Schweizerischen Eidgenossenschaft vom 29. Mai 1874 (aBV; AS 1875 S. 1); Art. 962 Abs. 2 ZGB; Art. 52 Abs. 3 SchlT ZGB; Jürg Schmid, a.a.O., Art. 962 ZGB N 12), ohne die der Grund- buchverwalter Anmerkungsgesuche abzuweisen hat (Henri Desche- naux, Das Grundbuch, S. 426). Der Gesamtbundesrat entscheidet in streitigen Fällen und kann eine Genehmigung mit Vorbehalten verbin- den (Art. 61b des Regierungs- und Verwaltungsorganisationsgesetzes vom 21. März 1997 [RVOG; SR 172.010]; Verordnung über die Geneh- migung kantonaler Erlasse durch den Bund vom 30. Januar 1991 [SR 172.068]; BBl 1988 II S. 1359 zu Art. 7a aVwOG; Jürg Schmid, a.a.O., Art. 52 SchlT N 10). Der Bundesrat konnte im Übrigen die entsprechenden Geschäfte gemäss Art. 103 Abs. 2 aBV an die Departemente resp. die ihnen untergeordneten Amtsstellen delegieren (Alexander Ruch, St. 30</w:t>
      </w:r>
    </w:p>
    <w:p>
      <w:r>
        <w:t>Galler Kommentar zu Art. 186 BV N 11; Kurt Eichenberger, in Kom- mentar aBV Art. 102 N 184; Jürg Schmid, a.a.O., Art. 52 SchlT N 10; vgl. jedoch die neue Kompetenzenordnung von Art. 61b Abs. 2 RVOG).</w:t>
      </w:r>
    </w:p>
    <w:p>
      <w:r>
        <w:rPr>
          <w:b/>
        </w:rPr>
        <w:t>E. 7.2</w:t>
      </w:r>
    </w:p>
    <w:p>
      <w:r>
        <w:t>Der Bundesrat hat am 11. Mai 1990 Art. 13 Abs. 3 kRPG geneh- migt. Er hat jedoch damit die Auﬂage verbunden, die auf Art. 13 Abs. 3 kRPG basierenden kommunalen Ausführungsbestimmungen müs- sten dem Eidgenössischen Grundbuchamt zur Genehmigung unter- breitet werden. Was genau darunter zu verstehen ist, ergibt sich aus der Stellungnahme dieses Amtes vom 18. Juli 1989 an das Baudepar- tement des Kantons Wallis. Dieses Amt, welches für den Bundesrat die Genehmigung von Art. 13 Abs. 3 kRPG vorzubereiten hatte, ging davon aus, Art. 13 Abs. 3 kRPG sei zu offen und lasse den Gemeinden so grossen Spielraum, dass eigentlich die sich darauf stützenden kommunalen Vorschriften zur Genehmigung vorgelegt werden müs- sten. Damit nicht in 163 Fällen der Waliser Gemeinden ein förmliches Gesuch zur Genehmigung an den Bundesrat gestellt werden müsse, was einen grossen Verwaltungsaufwand zur Folge hätte, schlug das Eidgenössische Grundbuchamt als Lösung vor, dass der Bundesrat das Amt ermächtige, „die gemeinderechtlichen Bestimmungen zu genehmigen». Diesem Antrag gab der Bundesrat dann auch Folge und genehmigte Art. 13 Abs. 3 kRPG mit diesem Vorbehalt. Die Antwort auf die Frage, ob es sich bei der getroffenen Lösung um eine Delega- tion der Genehmigungskompetenz an das Eidgenössische Grund- buchamt handelt und die kommunalen Reglementierungen das Genehmigungsobjekt darstellen, oder ob es sich vielmehr bei der Genehmigung durch das Eidgenössische Grundbuchamt um den Voll- zug der in der bundesrätlichen Genehmigung vorbehaltenen Auﬂage handelt, kann offen bleiben. Denn in beiden Fällen sind die gesetz- lichen Anforderungen für die Bejahung der vom Bundesrecht vorge- schriebenen Voraussetzungen für die Anmerkung gegeben. Auch die formellen bundesrechtlichen Genehmigungsvoraussetzungen sind somit als erfüllt zu erachten.</w:t>
      </w:r>
    </w:p>
    <w:p>
      <w:r>
        <w:rPr>
          <w:b/>
        </w:rPr>
        <w:t>E. 8</w:t>
      </w:r>
    </w:p>
    <w:p>
      <w:r>
        <w:t>Zusammenfassend sind somit die Begehren der Gemeinde, soweit darauf einzutreten ist, gutzuheissen und das Grundbuchamt Brig-Glis wird angewiesen, die beantragte Anmerkung vorzunehmen, sofern die übrigen Voraussetzungen, die hier nicht zu prüfen waren, erfüllt sind.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